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5"/>
        <w:gridCol w:w="2985"/>
        <w:gridCol w:w="3159"/>
        <w:gridCol w:w="3260"/>
        <w:gridCol w:w="2836"/>
      </w:tblGrid>
      <w:tr w:rsidR="001C2CFF" w:rsidTr="006E5211">
        <w:trPr>
          <w:trHeight w:val="558"/>
        </w:trPr>
        <w:tc>
          <w:tcPr>
            <w:tcW w:w="2235" w:type="dxa"/>
          </w:tcPr>
          <w:p w:rsidR="001C2CFF" w:rsidRDefault="001C2CFF" w:rsidP="006E5211">
            <w:pPr>
              <w:pStyle w:val="NoSpacing"/>
            </w:pPr>
          </w:p>
        </w:tc>
        <w:tc>
          <w:tcPr>
            <w:tcW w:w="2985" w:type="dxa"/>
          </w:tcPr>
          <w:p w:rsidR="001C2CFF" w:rsidRDefault="001C2CFF" w:rsidP="006E5211">
            <w:pPr>
              <w:pStyle w:val="NoSpacing"/>
              <w:rPr>
                <w:b/>
                <w:sz w:val="28"/>
                <w:szCs w:val="28"/>
              </w:rPr>
            </w:pPr>
            <w:r w:rsidRPr="001C2CFF">
              <w:rPr>
                <w:b/>
                <w:sz w:val="28"/>
                <w:szCs w:val="28"/>
              </w:rPr>
              <w:t>Poor</w:t>
            </w:r>
          </w:p>
          <w:p w:rsidR="00BB03CB" w:rsidRPr="00BB03CB" w:rsidRDefault="00BB03CB" w:rsidP="006E5211">
            <w:pPr>
              <w:pStyle w:val="NoSpacing"/>
              <w:rPr>
                <w:b/>
              </w:rPr>
            </w:pPr>
            <w:r w:rsidRPr="00BB03CB">
              <w:rPr>
                <w:b/>
              </w:rPr>
              <w:t>(0 marks)</w:t>
            </w:r>
          </w:p>
        </w:tc>
        <w:tc>
          <w:tcPr>
            <w:tcW w:w="3159" w:type="dxa"/>
          </w:tcPr>
          <w:p w:rsidR="001C2CFF" w:rsidRDefault="001C2CFF" w:rsidP="006E5211">
            <w:pPr>
              <w:pStyle w:val="NoSpacing"/>
              <w:rPr>
                <w:b/>
                <w:sz w:val="28"/>
                <w:szCs w:val="28"/>
              </w:rPr>
            </w:pPr>
            <w:r w:rsidRPr="001C2CFF">
              <w:rPr>
                <w:b/>
                <w:sz w:val="28"/>
                <w:szCs w:val="28"/>
              </w:rPr>
              <w:t>Satisfactory</w:t>
            </w:r>
          </w:p>
          <w:p w:rsidR="00BB03CB" w:rsidRPr="00BB03CB" w:rsidRDefault="00E223A5" w:rsidP="006E5211">
            <w:pPr>
              <w:pStyle w:val="NoSpacing"/>
              <w:rPr>
                <w:b/>
              </w:rPr>
            </w:pPr>
            <w:r>
              <w:rPr>
                <w:b/>
              </w:rPr>
              <w:t>(3</w:t>
            </w:r>
            <w:r w:rsidR="00BB03CB" w:rsidRPr="00BB03CB">
              <w:rPr>
                <w:b/>
              </w:rPr>
              <w:t xml:space="preserve"> marks)</w:t>
            </w:r>
          </w:p>
        </w:tc>
        <w:tc>
          <w:tcPr>
            <w:tcW w:w="3260" w:type="dxa"/>
          </w:tcPr>
          <w:p w:rsidR="001C2CFF" w:rsidRDefault="001C2CFF" w:rsidP="006E5211">
            <w:pPr>
              <w:pStyle w:val="NoSpacing"/>
              <w:rPr>
                <w:b/>
                <w:sz w:val="28"/>
                <w:szCs w:val="28"/>
              </w:rPr>
            </w:pPr>
            <w:r w:rsidRPr="001C2CFF">
              <w:rPr>
                <w:b/>
                <w:sz w:val="28"/>
                <w:szCs w:val="28"/>
              </w:rPr>
              <w:t>Good</w:t>
            </w:r>
          </w:p>
          <w:p w:rsidR="00BB03CB" w:rsidRPr="00BB03CB" w:rsidRDefault="00BB03CB" w:rsidP="006E5211">
            <w:pPr>
              <w:pStyle w:val="NoSpacing"/>
              <w:rPr>
                <w:b/>
              </w:rPr>
            </w:pPr>
            <w:r w:rsidRPr="00BB03CB">
              <w:rPr>
                <w:b/>
              </w:rPr>
              <w:t>(5 marks)</w:t>
            </w:r>
          </w:p>
        </w:tc>
        <w:tc>
          <w:tcPr>
            <w:tcW w:w="2836" w:type="dxa"/>
          </w:tcPr>
          <w:p w:rsidR="001C2CFF" w:rsidRDefault="001C2CFF" w:rsidP="006E5211">
            <w:pPr>
              <w:pStyle w:val="NoSpacing"/>
              <w:rPr>
                <w:b/>
                <w:sz w:val="28"/>
                <w:szCs w:val="28"/>
              </w:rPr>
            </w:pPr>
            <w:r w:rsidRPr="001C2CFF">
              <w:rPr>
                <w:b/>
                <w:sz w:val="28"/>
                <w:szCs w:val="28"/>
              </w:rPr>
              <w:t>Excellent</w:t>
            </w:r>
          </w:p>
          <w:p w:rsidR="00BB03CB" w:rsidRPr="00BB03CB" w:rsidRDefault="00BB03CB" w:rsidP="006E5211">
            <w:pPr>
              <w:pStyle w:val="NoSpacing"/>
              <w:rPr>
                <w:b/>
              </w:rPr>
            </w:pPr>
            <w:r w:rsidRPr="00BB03CB">
              <w:rPr>
                <w:b/>
              </w:rPr>
              <w:t>(10 marks)</w:t>
            </w:r>
          </w:p>
        </w:tc>
      </w:tr>
      <w:tr w:rsidR="006E5211" w:rsidTr="006E5211">
        <w:trPr>
          <w:trHeight w:val="2265"/>
        </w:trPr>
        <w:tc>
          <w:tcPr>
            <w:tcW w:w="2235" w:type="dxa"/>
          </w:tcPr>
          <w:p w:rsidR="006E5211" w:rsidRPr="001C2CFF" w:rsidRDefault="006E5211" w:rsidP="006E5211">
            <w:pPr>
              <w:pStyle w:val="NoSpacing"/>
              <w:rPr>
                <w:rStyle w:val="Strong"/>
                <w:b w:val="0"/>
                <w:bCs w:val="0"/>
                <w:szCs w:val="32"/>
              </w:rPr>
            </w:pPr>
          </w:p>
          <w:p w:rsidR="006E5211" w:rsidRPr="001C2CFF" w:rsidRDefault="006E5211" w:rsidP="006E5211">
            <w:pPr>
              <w:pStyle w:val="NoSpacing"/>
              <w:rPr>
                <w:rStyle w:val="Strong"/>
                <w:bCs w:val="0"/>
                <w:sz w:val="28"/>
                <w:szCs w:val="28"/>
              </w:rPr>
            </w:pPr>
            <w:r w:rsidRPr="001C2CFF">
              <w:rPr>
                <w:rStyle w:val="Strong"/>
                <w:bCs w:val="0"/>
                <w:sz w:val="28"/>
                <w:szCs w:val="28"/>
              </w:rPr>
              <w:t>Understanding dramatic elements</w:t>
            </w:r>
          </w:p>
          <w:p w:rsidR="006E5211" w:rsidRPr="001C2CFF" w:rsidRDefault="006E5211" w:rsidP="006E5211">
            <w:pPr>
              <w:pStyle w:val="NoSpacing"/>
            </w:pPr>
            <w:r w:rsidRPr="001C2CFF">
              <w:rPr>
                <w:rStyle w:val="Strong"/>
                <w:b w:val="0"/>
                <w:bCs w:val="0"/>
              </w:rPr>
              <w:t>Themes, context, characterisation, setting, production roles</w:t>
            </w:r>
          </w:p>
        </w:tc>
        <w:tc>
          <w:tcPr>
            <w:tcW w:w="2985" w:type="dxa"/>
          </w:tcPr>
          <w:p w:rsidR="006E5211" w:rsidRPr="005C32BF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show little or no understanding of dramatic elements</w:t>
            </w:r>
          </w:p>
        </w:tc>
        <w:tc>
          <w:tcPr>
            <w:tcW w:w="3159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show little or some understanding of dramatic elements through performance and class discussion</w:t>
            </w:r>
          </w:p>
        </w:tc>
        <w:tc>
          <w:tcPr>
            <w:tcW w:w="3260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demonstrate a good understanding of dramatic elements through performance, individual tasks and class discussion</w:t>
            </w:r>
          </w:p>
        </w:tc>
        <w:tc>
          <w:tcPr>
            <w:tcW w:w="2836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demonstrate a thorough and expansive understanding of dramatic elements through performance and individual tasks as well as through reflection</w:t>
            </w:r>
            <w:r w:rsidR="00917CB0">
              <w:rPr>
                <w:rStyle w:val="Strong"/>
                <w:b w:val="0"/>
              </w:rPr>
              <w:t xml:space="preserve"> in class discussion</w:t>
            </w:r>
          </w:p>
        </w:tc>
      </w:tr>
      <w:tr w:rsidR="006E5211" w:rsidTr="006E5211">
        <w:trPr>
          <w:trHeight w:val="1980"/>
        </w:trPr>
        <w:tc>
          <w:tcPr>
            <w:tcW w:w="2235" w:type="dxa"/>
          </w:tcPr>
          <w:p w:rsidR="006E5211" w:rsidRDefault="006E5211" w:rsidP="006E5211">
            <w:pPr>
              <w:pStyle w:val="NoSpacing"/>
              <w:rPr>
                <w:rStyle w:val="Strong"/>
                <w:sz w:val="28"/>
                <w:szCs w:val="28"/>
              </w:rPr>
            </w:pPr>
          </w:p>
          <w:p w:rsidR="006E5211" w:rsidRDefault="006E5211" w:rsidP="006E5211">
            <w:pPr>
              <w:pStyle w:val="NoSpacing"/>
            </w:pPr>
            <w:r w:rsidRPr="00F90628">
              <w:rPr>
                <w:rStyle w:val="Strong"/>
                <w:sz w:val="28"/>
                <w:szCs w:val="28"/>
              </w:rPr>
              <w:t>Using and adapting technologies in Arts</w:t>
            </w:r>
          </w:p>
        </w:tc>
        <w:tc>
          <w:tcPr>
            <w:tcW w:w="2985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made little or no attempt in using and adapting technologies in tasks through mobile phone, collage space and blogs</w:t>
            </w:r>
          </w:p>
        </w:tc>
        <w:tc>
          <w:tcPr>
            <w:tcW w:w="3159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use mobile phones, iPods, collage space and blogs to demonstrate understanding of adapting technologies in Arts</w:t>
            </w:r>
          </w:p>
        </w:tc>
        <w:tc>
          <w:tcPr>
            <w:tcW w:w="3260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use mobile phones, iPods, collage space, blogs and spiderscribe effectively to demonstrate adaptation of technologies in the Arts</w:t>
            </w:r>
          </w:p>
        </w:tc>
        <w:tc>
          <w:tcPr>
            <w:tcW w:w="2836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adapt technologies for the Arts by engaging and actively using mobile phones, iPods, collage space, spiderscribe, blogs and interactive whiteboard to create elements of design.</w:t>
            </w:r>
          </w:p>
        </w:tc>
      </w:tr>
      <w:tr w:rsidR="006E5211" w:rsidTr="006E5211">
        <w:trPr>
          <w:trHeight w:val="1980"/>
        </w:trPr>
        <w:tc>
          <w:tcPr>
            <w:tcW w:w="2235" w:type="dxa"/>
          </w:tcPr>
          <w:p w:rsidR="006E5211" w:rsidRDefault="006E5211" w:rsidP="006E5211">
            <w:pPr>
              <w:pStyle w:val="NoSpacing"/>
              <w:rPr>
                <w:rStyle w:val="Strong"/>
                <w:sz w:val="28"/>
                <w:szCs w:val="28"/>
              </w:rPr>
            </w:pPr>
          </w:p>
          <w:p w:rsidR="006E5211" w:rsidRDefault="006E5211" w:rsidP="006E5211">
            <w:pPr>
              <w:pStyle w:val="NoSpacing"/>
            </w:pPr>
            <w:r w:rsidRPr="00F90628">
              <w:rPr>
                <w:rStyle w:val="Strong"/>
                <w:sz w:val="28"/>
                <w:szCs w:val="28"/>
              </w:rPr>
              <w:t>Understanding historical and cultural context</w:t>
            </w:r>
          </w:p>
        </w:tc>
        <w:tc>
          <w:tcPr>
            <w:tcW w:w="2985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 does not demonstrate understanding of historical or cultural context of the play</w:t>
            </w:r>
          </w:p>
        </w:tc>
        <w:tc>
          <w:tcPr>
            <w:tcW w:w="3159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demonstrates some understanding of historical and cultural context through performance and class discussion</w:t>
            </w:r>
          </w:p>
        </w:tc>
        <w:tc>
          <w:tcPr>
            <w:tcW w:w="3260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 demonstrates a good understanding of the historical and cultural context of the play through tasks in performance and theory based activities as well as class discussion</w:t>
            </w:r>
          </w:p>
        </w:tc>
        <w:tc>
          <w:tcPr>
            <w:tcW w:w="2836" w:type="dxa"/>
          </w:tcPr>
          <w:p w:rsidR="006E5211" w:rsidRPr="00973A09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 demonstrates excellent understanding of historical and cultural context through performance, and theory based reflection of the play during class discussion</w:t>
            </w:r>
          </w:p>
        </w:tc>
      </w:tr>
      <w:tr w:rsidR="006E5211" w:rsidTr="006E5211">
        <w:trPr>
          <w:trHeight w:val="1500"/>
        </w:trPr>
        <w:tc>
          <w:tcPr>
            <w:tcW w:w="2235" w:type="dxa"/>
          </w:tcPr>
          <w:p w:rsidR="006E5211" w:rsidRDefault="006E5211" w:rsidP="006E5211">
            <w:pPr>
              <w:pStyle w:val="NoSpacing"/>
            </w:pPr>
            <w:r w:rsidRPr="0040260D">
              <w:rPr>
                <w:rStyle w:val="Strong"/>
                <w:b w:val="0"/>
              </w:rPr>
              <w:lastRenderedPageBreak/>
              <w:t xml:space="preserve"> </w:t>
            </w:r>
          </w:p>
          <w:p w:rsidR="006E5211" w:rsidRPr="006E5211" w:rsidRDefault="006E5211" w:rsidP="006E5211">
            <w:pPr>
              <w:pStyle w:val="NoSpacing"/>
              <w:rPr>
                <w:b/>
                <w:sz w:val="28"/>
                <w:szCs w:val="28"/>
              </w:rPr>
            </w:pPr>
            <w:r w:rsidRPr="006E5211">
              <w:rPr>
                <w:b/>
                <w:sz w:val="28"/>
                <w:szCs w:val="28"/>
              </w:rPr>
              <w:t>Participation</w:t>
            </w:r>
          </w:p>
        </w:tc>
        <w:tc>
          <w:tcPr>
            <w:tcW w:w="2985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Little or no sharing of ideas of lesson content and activities</w:t>
            </w:r>
          </w:p>
        </w:tc>
        <w:tc>
          <w:tcPr>
            <w:tcW w:w="3159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Contributes sometimes but not all the time. Does little work in activities and tasks</w:t>
            </w:r>
          </w:p>
        </w:tc>
        <w:tc>
          <w:tcPr>
            <w:tcW w:w="3260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Contributes and shares ideas and interest in lesson content and activities. Gets involved in all activities</w:t>
            </w:r>
          </w:p>
        </w:tc>
        <w:tc>
          <w:tcPr>
            <w:tcW w:w="2836" w:type="dxa"/>
          </w:tcPr>
          <w:p w:rsidR="006E5211" w:rsidRPr="0040260D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Excellent contribution toward lesson activities and content. Constantly involved in performance and theory tasks</w:t>
            </w:r>
          </w:p>
        </w:tc>
      </w:tr>
      <w:tr w:rsidR="006E5211" w:rsidTr="006E5211">
        <w:trPr>
          <w:trHeight w:val="2166"/>
        </w:trPr>
        <w:tc>
          <w:tcPr>
            <w:tcW w:w="2235" w:type="dxa"/>
          </w:tcPr>
          <w:p w:rsidR="006E5211" w:rsidRPr="006E5211" w:rsidRDefault="006E5211" w:rsidP="006E5211">
            <w:pPr>
              <w:rPr>
                <w:b/>
                <w:sz w:val="28"/>
                <w:szCs w:val="28"/>
              </w:rPr>
            </w:pPr>
            <w:r w:rsidRPr="006E5211">
              <w:rPr>
                <w:b/>
                <w:sz w:val="28"/>
                <w:szCs w:val="28"/>
              </w:rPr>
              <w:t>Reflection</w:t>
            </w:r>
          </w:p>
        </w:tc>
        <w:tc>
          <w:tcPr>
            <w:tcW w:w="2985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do not create a blog in response to the play</w:t>
            </w:r>
          </w:p>
        </w:tc>
        <w:tc>
          <w:tcPr>
            <w:tcW w:w="3159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create and complete a blog reflecting on the play and the use of dramatic elements in relation to context and technologies</w:t>
            </w:r>
          </w:p>
        </w:tc>
        <w:tc>
          <w:tcPr>
            <w:tcW w:w="3260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create and complete a reflection exploring the use of dramatic elements, technologies and characterisation and state what worked and what did not</w:t>
            </w:r>
          </w:p>
        </w:tc>
        <w:tc>
          <w:tcPr>
            <w:tcW w:w="2836" w:type="dxa"/>
          </w:tcPr>
          <w:p w:rsidR="006E5211" w:rsidRPr="00F90628" w:rsidRDefault="006E5211" w:rsidP="006E5211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Students create and complete a detailed reflection on the use of dramatic elements and technologies used in the play. Students will reflect on the importance in these elements and describe how it should/could have been done differently</w:t>
            </w:r>
          </w:p>
        </w:tc>
      </w:tr>
      <w:tr w:rsidR="006E5211" w:rsidTr="006E5211">
        <w:trPr>
          <w:trHeight w:val="825"/>
        </w:trPr>
        <w:tc>
          <w:tcPr>
            <w:tcW w:w="14475" w:type="dxa"/>
            <w:gridSpan w:val="5"/>
          </w:tcPr>
          <w:p w:rsidR="006E5211" w:rsidRPr="006E5211" w:rsidRDefault="006E5211" w:rsidP="006E5211">
            <w:pPr>
              <w:jc w:val="right"/>
              <w:rPr>
                <w:b/>
                <w:sz w:val="40"/>
                <w:szCs w:val="40"/>
              </w:rPr>
            </w:pPr>
            <w:r w:rsidRPr="006E5211">
              <w:rPr>
                <w:b/>
                <w:sz w:val="40"/>
                <w:szCs w:val="40"/>
              </w:rPr>
              <w:t>TOTAL:    /50</w:t>
            </w:r>
          </w:p>
        </w:tc>
      </w:tr>
    </w:tbl>
    <w:p w:rsidR="00C07A10" w:rsidRDefault="00C07A10"/>
    <w:sectPr w:rsidR="00C07A10" w:rsidSect="001C2CFF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2CFF"/>
    <w:rsid w:val="001C2CFF"/>
    <w:rsid w:val="006E5211"/>
    <w:rsid w:val="00917CB0"/>
    <w:rsid w:val="00BB03CB"/>
    <w:rsid w:val="00C07A10"/>
    <w:rsid w:val="00E223A5"/>
    <w:rsid w:val="00E31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2CFF"/>
    <w:rPr>
      <w:b/>
      <w:bCs/>
    </w:rPr>
  </w:style>
  <w:style w:type="paragraph" w:styleId="NoSpacing">
    <w:name w:val="No Spacing"/>
    <w:uiPriority w:val="1"/>
    <w:qFormat/>
    <w:rsid w:val="001C2C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 Australia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 </cp:lastModifiedBy>
  <cp:revision>3</cp:revision>
  <dcterms:created xsi:type="dcterms:W3CDTF">2012-04-06T06:27:00Z</dcterms:created>
  <dcterms:modified xsi:type="dcterms:W3CDTF">2012-04-06T06:29:00Z</dcterms:modified>
</cp:coreProperties>
</file>